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56.8000000000002" w:right="1156.7999999999995"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OWNER AFFIDAVIT AND INDEMNITY AGREEMENT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 RECENT IMPROVEMENTS AND NO EXECUTORY CONTRACTS FOR IMPROVEMENTS)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720" w:right="509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PARTIES: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parties identified in this section must execute this Agreement.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3139.2" w:firstLine="0"/>
        <w:jc w:val="left"/>
        <w:rPr>
          <w:rFonts w:ascii="Arial" w:cs="Arial" w:eastAsia="Arial" w:hAnsi="Arial"/>
          <w:b w:val="0"/>
          <w:i w:val="0"/>
          <w:smallCaps w:val="0"/>
          <w:strike w:val="0"/>
          <w:color w:val="000000"/>
          <w:sz w:val="30"/>
          <w:szCs w:val="30"/>
          <w:u w:val="none"/>
          <w:shd w:fill="auto" w:val="clear"/>
          <w:vertAlign w:val="sub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Owner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(NOTE: A separate Agreement is required for each successive owner in the 120-Day Lien Period.)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9220.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PROPERTY: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676.8000000000001" w:right="4296"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(Insert street address or brief description and/or attach a description as Exhibit 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720" w:right="2956.799999999999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following capitalized terms as used in this Agreement shall have the following meanings: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46.4" w:right="-715.199999999999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Improvement: All or any part of any building, structure, erection, alteration, demolition, excavation, clearing, grading, filling, or landscaping, including trees and shrubbery, driveways, and private roadways on the Property as defined below.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46.4" w:right="-72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Labor, Services or Materials: Labor or professional design (including architectural, engineering, landscaping) or surveying services or materials or rental equipment for which a lien can be claimed under NCGS Chapter 44A, Article 2.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46.4" w:right="-72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Contractor: Any person or entity who has performed or furnished or has contracted to perform or furnish Labor, Services or Materials pursuant to a contract, either express or implied, with the Owner of real property for the making of an Improvement thereon.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46.4" w:right="-72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120-Day Lien Period: The 120 days immediately preceding the date of recordation of the latter of the deed to purchaser or deed of trust to lender in the Office of the Register of Deeds of the county in which the Property is located.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51.20000000000005" w:right="-72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Owner: Any person or entity, as defined in NCGS Chapter 44A, Article 2, who has or has had any interest in the Property within the 120-Day Lien Period. For the purposes of this Agreement, the term Owner includes: (i) a seller of the Property or a borrower under a loan agreement secured by the Property; (ii) a person with rights to purchase the Property under a contract and for whom an Improvement is made and who ordered the Improvement to be made; and (iii) the Owner’s successors in interest and agents of the Owner acting within their authority.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46.4" w:right="1881.5999999999997"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Company: The title insurance company providing the title policy for the transaction contemplated by the parties herein.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46.4" w:right="384.000000000000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Property: The real estate described above or on Exhibit A and any leaseholds, tenements, hereditaments, and improvements placed thereon.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46.4" w:right="4761.59999999999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All defined terms shall include the singular or plural as required by context.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806.4000000000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AGREEMENT: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good and valuable consideration, the receipt and sufficiency of which is hereby acknowledged, and as an inducement to the purchase of the Property by a purchaser and/or the making of a loan by a lender secured by a deed of trust encumbering the Property and the issuance of a title insurance policy or policies by Company insuring title to the Property without exception to liens for Labor, Services or Materials; Owner first being duly sworn, deposes, says and agrees: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Certifications: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Owner certifies that at no time during the 120-Day Lien Period have any Labor, Services or Materials been furnished in connection with a contract, express or implied, for Improvements to the Property (including architectural, engineering, landscaping or surveying services or materials or rental equipment for which a lien can be claimed under NCGS Chapter 44A) nor have any Labor, Services or Materials been furnished on the Property prior to the 120-Day Lien Period that will or may be completed after the date of this affidavit OR only minor repairs and/or alterations to pre-existing Improvements have been made and Owner certifies such repairs and/or alterations have been completed and those providing Labor, Services or Materials for the repairs have been paid in full.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Reliance and Indemnification: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Agreement may be relied upon by the purchaser in the purchase of the Property, a lender to make a loan secured by a deed of trust encumbering the Property and by Company in issuance of a title insurance policy or policies insuring title to the Property without exception to matters certified in this Agreement. The provisions of this Agreement shall survive the disbursement of funds and closing of this transaction and shall be binding upon Owner and anyone claiming by, through or under Owner. Owner agrees to indemnify and hold purchaser, lender, and Company harmless of and from any and all loss, cost, damage and expense of every kind, and attorney’s fees, costs and expenses, which the purchaser, lender or Company shall or may incur or become liable for, directly or indirectly, as a result of reliance on the certifications of Owner made herein or in enforcement of the Company’s rights hereunder.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NCLTA Copyright and Entire Agreement: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Agreement and any attachments hereto represent the entire agreement between the Owner and the Company, and no prior or contemporaneous agreement or understanding inconsistent herewith (whether oral or written) pertaining to such matters is effective. THIS IS A COPYRIGHT FORM and any variances in the form provisions hereof must be specifically stated in the blank below and agreed to in writing by the Company.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720" w:right="-4.80000000000018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modification of this Agreement, and no waiver of any of its terms or conditions, shall be effective unless made in writing and approved by the Company.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920" w:right="1920" w:firstLine="0"/>
        <w:jc w:val="center"/>
        <w:rPr>
          <w:rFonts w:ascii="Arial" w:cs="Arial" w:eastAsia="Arial" w:hAnsi="Arial"/>
          <w:b w:val="1"/>
          <w:i w:val="0"/>
          <w:smallCaps w:val="0"/>
          <w:strike w:val="0"/>
          <w:color w:val="000000"/>
          <w:sz w:val="19.920000076293945"/>
          <w:szCs w:val="19.92000007629394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PROVIDING A FALSE AFFIDAVIT IS A CRIMINAL OFFENSE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EXECUTION BY OWNER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34.4" w:right="2921.6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Printed or Typed Name/Title: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734.4" w:right="2921.6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Printed or Typed Name/Title: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94.4" w:right="2025.599999999999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State of __________________ County of _________________ Signed and sworn to (or affirmed) before me this day by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94.4" w:right="2001.5999999999997" w:firstLine="3491.2"/>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[insert name(s) of principal(s)]. Date: __________________________________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400" w:right="2020.8000000000004"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Notary Public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494.4" w:right="4329.6"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My Commission Expires: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720" w:right="4171.2"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North Carolina Land Title Association, May 2010 Form No. 1: OWNER AFFIDAVIT AND INDEMNITY AGREEMENT (NO RECENT IMPROVEMENTS)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